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75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12</w:t>
      </w:r>
      <w:r>
        <w:rPr>
          <w:rFonts w:ascii="PT Astra Serif" w:hAnsi="PT Astra Serif"/>
          <w:b/>
          <w:sz w:val="26"/>
          <w:szCs w:val="26"/>
          <w:lang w:val="ru-RU"/>
        </w:rPr>
        <w:t>.1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ascii="PT Astra Serif" w:hAnsi="PT Astra Serif"/>
          <w:b/>
          <w:sz w:val="26"/>
          <w:szCs w:val="26"/>
          <w:lang w:val="ru-RU"/>
        </w:rPr>
        <w:t>.2022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закона Ульяновской области</w:t>
        <w:br/>
        <w:t>«</w:t>
      </w:r>
      <w:r>
        <w:rPr>
          <w:rFonts w:eastAsia="Calibri" w:cs="Times New Roman" w:ascii="PT Astra Serif" w:hAnsi="PT Astra Serif"/>
          <w:b/>
          <w:bCs/>
          <w:i w:val="false"/>
          <w:strike w:val="false"/>
          <w:dstrike w:val="false"/>
          <w:sz w:val="26"/>
          <w:szCs w:val="26"/>
          <w:u w:val="none"/>
          <w:lang w:eastAsia="ru-RU"/>
        </w:rPr>
        <w:t>О внесении изменения в статью 4 Закона Ульяновской области</w:t>
        <w:br/>
        <w:t>«О внесении изменений в Закон Ульяновской области</w:t>
        <w:br/>
        <w:t>«О регулировании некоторых вопросов, связанных с осуществлением розничной продажи алкогольной продукции на территории Ульяновской области», признании утратившим силу законодательного акта Ульяновской области</w:t>
        <w:br/>
        <w:t>и об отмене законодательного акта Ульяновской области» и признании утратившим силу законодательного акта Ульяновской области</w:t>
      </w:r>
      <w:bookmarkStart w:id="0" w:name="__DdeLink__428060_2144257882"/>
      <w:r>
        <w:rPr>
          <w:rFonts w:ascii="PT Astra Serif" w:hAnsi="PT Astra Serif"/>
          <w:b/>
          <w:bCs/>
          <w:sz w:val="26"/>
          <w:szCs w:val="26"/>
        </w:rPr>
        <w:t>»</w:t>
      </w:r>
      <w:bookmarkEnd w:id="0"/>
    </w:p>
    <w:p>
      <w:pPr>
        <w:pStyle w:val="Normal"/>
        <w:shd w:val="clear" w:fill="FFFFFF"/>
        <w:spacing w:lineRule="auto" w:line="240" w:before="0" w:after="0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auto" w:line="240" w:before="0" w:after="0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1" w:name="__DdeLink__208_3880014481"/>
      <w:bookmarkStart w:id="2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1"/>
      <w:bookmarkEnd w:id="2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12</w:t>
      </w:r>
      <w:r>
        <w:rPr>
          <w:rFonts w:ascii="PT Astra Serif" w:hAnsi="PT Astra Serif"/>
          <w:sz w:val="26"/>
          <w:szCs w:val="26"/>
          <w:lang w:val="ru-RU"/>
        </w:rPr>
        <w:t xml:space="preserve"> октября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закона Ульяновской области «</w:t>
      </w:r>
      <w:r>
        <w:rPr>
          <w:rStyle w:val="Normaltextrun"/>
          <w:rFonts w:eastAsia="Calibri"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4"/>
          <w:sz w:val="26"/>
          <w:szCs w:val="26"/>
          <w:u w:val="none"/>
          <w:lang w:val="ru-RU" w:eastAsia="ru-RU"/>
        </w:rPr>
        <w:t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 на территории Ульяновской области», признании утратившим силу законодательного акта Ульяновской области и об отмене законодательного акта Ульяновской области» и признании утратившим силу законодательного акта Ульяновской области</w:t>
      </w:r>
      <w:bookmarkStart w:id="3" w:name="__DdeLink__428060_21442578821"/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»</w:t>
      </w:r>
      <w:bookmarkEnd w:id="3"/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 разработан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zh-CN"/>
        </w:rPr>
        <w:t xml:space="preserve"> в целях снижения регуляторной нагрузки на 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6"/>
          <w:szCs w:val="26"/>
          <w:lang w:val="ru-RU" w:eastAsia="zh-CN" w:bidi="ar-SA"/>
        </w:rPr>
        <w:t>хозяйствующие субъекты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zh-CN"/>
        </w:rPr>
        <w:t xml:space="preserve"> в условиях санкций и обеспечения устойчивости развития экономики, устранения избыточных ограничений 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6"/>
          <w:szCs w:val="26"/>
          <w:lang w:val="ru-RU" w:eastAsia="zh-CN" w:bidi="ar-SA"/>
        </w:rPr>
        <w:t>в сфере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zh-CN"/>
        </w:rPr>
        <w:t xml:space="preserve"> розничной продажи алкогольной продукции, </w:t>
      </w:r>
      <w:r>
        <w:rPr>
          <w:rFonts w:eastAsia="Times New Roman" w:cs="PT Astra Serif" w:ascii="PT Astra Serif" w:hAnsi="PT Astra Serif"/>
          <w:b w:val="false"/>
          <w:bCs/>
          <w:color w:val="auto"/>
          <w:sz w:val="26"/>
          <w:szCs w:val="26"/>
          <w:lang w:val="ru-RU" w:eastAsia="zh-CN" w:bidi="ar-SA"/>
        </w:rPr>
        <w:t>снижения доли продажи нелегальной алкогольной продукции, а также снижения оборота суррогатной продукции, потребление которой может повлечь вред жизни и здоровью граждан</w:t>
      </w:r>
      <w:r>
        <w:rPr>
          <w:rFonts w:cs="PT Astra Serif" w:ascii="PT Astra Serif" w:hAnsi="PT Astra Serif"/>
          <w:b w:val="false"/>
          <w:bCs/>
          <w:color w:val="000000"/>
          <w:sz w:val="26"/>
          <w:szCs w:val="26"/>
          <w:lang w:eastAsia="zh-CN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40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Проектом пред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лагается</w:t>
      </w:r>
      <w:r>
        <w:rPr>
          <w:rFonts w:ascii="PT Astra Serif" w:hAnsi="PT Astra Serif"/>
          <w:b w:val="false"/>
          <w:bCs/>
          <w:i w:val="false"/>
          <w:strike w:val="false"/>
          <w:dstrike w:val="false"/>
          <w:sz w:val="26"/>
          <w:szCs w:val="26"/>
          <w:u w:val="none"/>
          <w:lang w:eastAsia="zh-CN"/>
        </w:rPr>
        <w:t xml:space="preserve"> 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перенести</w:t>
      </w:r>
      <w:r>
        <w:rPr>
          <w:rFonts w:ascii="PT Astra Serif" w:hAnsi="PT Astra Serif"/>
          <w:b w:val="false"/>
          <w:bCs/>
          <w:i w:val="false"/>
          <w:strike w:val="false"/>
          <w:dstrike w:val="false"/>
          <w:sz w:val="26"/>
          <w:szCs w:val="26"/>
          <w:u w:val="none"/>
          <w:lang w:eastAsia="zh-CN"/>
        </w:rPr>
        <w:t xml:space="preserve"> вступление в силу дополнительных ограничений в виде запрета розничной продажи алкогольной продукции</w:t>
        <w:br/>
        <w:t>в нежилых помещениях многоквартирных домов, а также в расположенных</w:t>
        <w:br/>
        <w:t>во дворах многоквартирных домов зданиях, если вход в них организован</w:t>
        <w:br/>
        <w:t>со стороны подъездов многоквартирных домов, на 2027 год.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Вместе с тем, претензии жителей многоквартирных домов сводятся,</w:t>
        <w:br/>
        <w:t>в основном, к деятельности реализующих алкогольную продукцию предприятий общественного питания, а не магазинов, соответственно, у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становление дополнительного ограничения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мест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продажи алкогольной продукции при отсутствии </w:t>
      </w:r>
      <w:r>
        <w:rPr>
          <w:rFonts w:eastAsia="Times New Roman" w:cs="Times New Roman" w:ascii="PT Astra Serif" w:hAnsi="PT Astra Serif"/>
          <w:b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явного</w:t>
      </w:r>
      <w:r>
        <w:rPr>
          <w:rFonts w:cs="Times New Roman" w:ascii="PT Astra Serif" w:hAnsi="PT Astra Serif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положительного социально-экономического эффекта может привести</w:t>
        <w:br/>
        <w:t>с дополнительным ограничениям и способствовать увеличению доли неучтенного потребления алкоголя.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 </w:t>
      </w: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 в установленном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p>
      <w:pPr>
        <w:pStyle w:val="Style19"/>
        <w:tabs>
          <w:tab w:val="clear" w:pos="720"/>
          <w:tab w:val="left" w:pos="709" w:leader="none"/>
        </w:tabs>
        <w:spacing w:lineRule="auto" w:line="240" w:before="0" w:after="0"/>
        <w:ind w:left="-720" w:right="0" w:firstLine="720"/>
        <w:rPr>
          <w:rFonts w:ascii="PT Astra Serif" w:hAnsi="PT Astra Serif"/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Application>LibreOffice/6.4.7.2$Linux_X86_64 LibreOffice_project/40$Build-2</Application>
  <Pages>1</Pages>
  <Words>333</Words>
  <Characters>2573</Characters>
  <CharactersWithSpaces>2945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2022-10-19T11:11:56Z</cp:lastPrinted>
  <dcterms:modified xsi:type="dcterms:W3CDTF">2022-10-19T13:59:11Z</dcterms:modified>
  <cp:revision>72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